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8760B"/>
          <w:sz w:val="15"/>
          <w:szCs w:val="15"/>
        </w:rPr>
        <w:t xml:space="preserve">ROTARY IT FELLOWSHIP · THE QUANTUM ACCELERATOR</w:t>
      </w:r>
    </w:p>
    <w:p>
      <w:pPr>
        <w:spacing w:after="100"/>
      </w:pPr>
      <w:r>
        <w:rPr>
          <w:rFonts w:ascii="Arial" w:cs="Arial" w:eastAsia="Arial" w:hAnsi="Arial"/>
          <w:b/>
          <w:bCs/>
          <w:color w:val="1F4E79"/>
          <w:sz w:val="40"/>
          <w:szCs w:val="40"/>
        </w:rPr>
        <w:t xml:space="preserve">Monitoring and evaluation plan</w:t>
      </w:r>
    </w:p>
    <w:p>
      <w:pPr>
        <w:spacing w:after="240" w:before="0" w:line="276"/>
      </w:pPr>
      <w:r>
        <w:rPr>
          <w:rFonts w:ascii="Arial" w:cs="Arial" w:eastAsia="Arial" w:hAnsi="Arial"/>
          <w:color w:val="595959"/>
          <w:sz w:val="22"/>
          <w:szCs w:val="22"/>
        </w:rPr>
        <w:t xml:space="preserve">Goals, standard measures, baseline collection and the schedule that shows whether any of it worked.</w:t>
      </w:r>
    </w:p>
    <w:p>
      <w:pPr>
        <w:pBdr>
          <w:bottom w:val="single" w:color="D0D7E2" w:sz="6"/>
        </w:pBdr>
        <w:spacing w:after="180" w:before="60"/>
      </w:pPr>
      <w:r>
        <w:rPr>
          <w:rFonts w:ascii="Arial" w:cs="Arial" w:eastAsia="Arial" w:hAnsi="Arial"/>
          <w:sz w:val="2"/>
          <w:szCs w:val="2"/>
        </w:rPr>
        <w:t xml:space="preserve"/>
      </w:r>
    </w:p>
    <w:tbl>
      <w:tblPr>
        <w:tblW w:type="dxa" w:w="10080"/>
        <w:tblBorders>
          <w:top w:val="single" w:color="C9D7E8" w:sz="4"/>
          <w:left w:val="single" w:color="1F4E79" w:sz="18"/>
          <w:bottom w:val="single" w:color="C9D7E8" w:sz="4"/>
          <w:right w:val="single" w:color="C9D7E8" w:sz="4"/>
          <w:insideH w:val="none"/>
          <w:insideV w:val="none"/>
        </w:tblBorders>
      </w:tblPr>
      <w:tblGrid>
        <w:gridCol w:w="10080"/>
      </w:tblGrid>
      <w:tr>
        <w:tc>
          <w:tcPr>
            <w:tcW w:type="dxa" w:w="10080"/>
            <w:shd w:fill="F2F6FB" w:val="clear"/>
            <w:tcMar>
              <w:top w:type="dxa" w:w="140"/>
              <w:left w:type="dxa" w:w="180"/>
              <w:bottom w:type="dxa" w:w="140"/>
              <w:right w:type="dxa" w:w="180"/>
            </w:tcMar>
          </w:tcPr>
          <w:p>
            <w:pPr>
              <w:spacing w:after="90" w:before="0" w:line="276"/>
            </w:pPr>
            <w:r>
              <w:rPr>
                <w:rFonts w:ascii="Arial" w:cs="Arial" w:eastAsia="Arial" w:hAnsi="Arial"/>
                <w:b/>
                <w:bCs/>
                <w:color w:val="1A1A1A"/>
                <w:sz w:val="21"/>
                <w:szCs w:val="21"/>
              </w:rPr>
              <w:t xml:space="preserve">What reviewers actually look for</w:t>
            </w:r>
          </w:p>
          <w:p>
            <w:pPr>
              <w:spacing w:after="90" w:before="0" w:line="276"/>
            </w:pPr>
            <w:r>
              <w:rPr>
                <w:rFonts w:ascii="Arial" w:cs="Arial" w:eastAsia="Arial" w:hAnsi="Arial"/>
                <w:color w:val="1A1A1A"/>
                <w:sz w:val="19"/>
                <w:szCs w:val="19"/>
              </w:rPr>
              <w:t xml:space="preserve">Sponsors must select applicable standard measures for their area of focus and may add their own. The part almost everyone skips is the baseline: it has to be collected before activities begin, by a stated method, or there is nothing to compare the end state against.</w:t>
            </w:r>
          </w:p>
          <w:p>
            <w:pPr>
              <w:spacing w:after="0" w:before="0" w:line="276"/>
            </w:pPr>
            <w:r>
              <w:rPr>
                <w:rFonts w:ascii="Arial" w:cs="Arial" w:eastAsia="Arial" w:hAnsi="Arial"/>
                <w:color w:val="1A1A1A"/>
                <w:sz w:val="19"/>
                <w:szCs w:val="19"/>
              </w:rPr>
              <w:t xml:space="preserve">Up to 10% of the budget may fund measurement. Note that international travel expenses for monitoring and evaluation are NOT eligible - measurement has to be carried out locally. A measurement plan with no budget line is a plan nobody will carry out.</w:t>
            </w:r>
          </w:p>
        </w:tc>
      </w:tr>
    </w:tbl>
    <w:p>
      <w:pPr>
        <w:spacing w:after="200" w:before="0" w:line="276"/>
      </w:pPr>
      <w:r>
        <w:rPr>
          <w:rFonts w:ascii="Arial" w:cs="Arial" w:eastAsia="Arial" w:hAnsi="Arial"/>
          <w:color w:val="1A1A1A"/>
          <w:sz w:val="20"/>
          <w:szCs w:val="20"/>
        </w:rPr>
        <w:t xml:space="preserve"/>
      </w:r>
    </w:p>
    <w:p>
      <w:pPr>
        <w:pStyle w:val="Heading1"/>
        <w:spacing w:after="160" w:before="360"/>
      </w:pPr>
      <w:r>
        <w:rPr>
          <w:rFonts w:ascii="Arial" w:cs="Arial" w:eastAsia="Arial" w:hAnsi="Arial"/>
          <w:b/>
          <w:bCs/>
          <w:color w:val="1F4E79"/>
          <w:sz w:val="30"/>
          <w:szCs w:val="30"/>
        </w:rPr>
        <w:t xml:space="preserve">1 · Goals and the chain to measures</w:t>
      </w:r>
    </w:p>
    <w:p>
      <w:pPr>
        <w:spacing w:after="120" w:before="0" w:line="276"/>
      </w:pPr>
      <w:r>
        <w:rPr>
          <w:rFonts w:ascii="Arial" w:cs="Arial" w:eastAsia="Arial" w:hAnsi="Arial"/>
          <w:color w:val="1A1A1A"/>
          <w:sz w:val="20"/>
          <w:szCs w:val="20"/>
        </w:rPr>
        <w:t xml:space="preserve">Every measure must attach to a goal, and every goal must be something the activities plausibly cause. If you cannot trace the arrow, the reviewer cannot either.</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2621"/>
        <w:gridCol w:w="2621"/>
        <w:gridCol w:w="2822"/>
        <w:gridCol w:w="2016"/>
      </w:tblGrid>
      <w:tr>
        <w:trPr>
          <w:tblHeader/>
        </w:trPr>
        <w:tc>
          <w:tcPr>
            <w:tcW w:type="dxa" w:w="2621"/>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Goal</w:t>
            </w:r>
          </w:p>
        </w:tc>
        <w:tc>
          <w:tcPr>
            <w:tcW w:type="dxa" w:w="2621"/>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Activity that produces it</w:t>
            </w:r>
          </w:p>
        </w:tc>
        <w:tc>
          <w:tcPr>
            <w:tcW w:type="dxa" w:w="2822"/>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Measure that demonstrates it</w:t>
            </w:r>
          </w:p>
        </w:tc>
        <w:tc>
          <w:tcPr>
            <w:tcW w:type="dxa" w:w="201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82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82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82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82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82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01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Beware of measuring outputs and calling them outcomes. “Number of people trained” is an output. “Number of people using the skill twelve months later” is an outcome.</w:t>
      </w:r>
    </w:p>
    <w:p>
      <w:pPr>
        <w:pStyle w:val="Heading1"/>
        <w:spacing w:after="160" w:before="360"/>
      </w:pPr>
      <w:r>
        <w:rPr>
          <w:rFonts w:ascii="Arial" w:cs="Arial" w:eastAsia="Arial" w:hAnsi="Arial"/>
          <w:b/>
          <w:bCs/>
          <w:color w:val="1F4E79"/>
          <w:sz w:val="30"/>
          <w:szCs w:val="30"/>
        </w:rPr>
        <w:t xml:space="preserve">2 · Standard measures by area of focus</w:t>
      </w:r>
    </w:p>
    <w:p>
      <w:pPr>
        <w:spacing w:after="120" w:before="0" w:line="276"/>
      </w:pPr>
      <w:r>
        <w:rPr>
          <w:rFonts w:ascii="Arial" w:cs="Arial" w:eastAsia="Arial" w:hAnsi="Arial"/>
          <w:color w:val="1A1A1A"/>
          <w:sz w:val="20"/>
          <w:szCs w:val="20"/>
        </w:rPr>
        <w:t xml:space="preserve">Tick the measures that apply to your project. Take them from your own area of focus; reviewers will notice measures borrowed from a different one.</w:t>
      </w:r>
    </w:p>
    <w:p>
      <w:pPr>
        <w:pStyle w:val="Heading3"/>
        <w:spacing w:after="100" w:before="200"/>
      </w:pPr>
      <w:r>
        <w:rPr>
          <w:rFonts w:ascii="Arial" w:cs="Arial" w:eastAsia="Arial" w:hAnsi="Arial"/>
          <w:b/>
          <w:bCs/>
          <w:color w:val="1A1A1A"/>
          <w:sz w:val="21"/>
          <w:szCs w:val="21"/>
        </w:rPr>
        <w:t xml:space="preserve">Peacebuilding and conflict prevention</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trained in conflict resolution or mediation</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participating in peacebuilding activities</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community mediations conducted and resolved</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Change in reported trust between the groups in conflict</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Disease prevention and treatment</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screened</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treated</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health workers trained and still practising at 12 months</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Change in disease incidence in the target population</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Water, sanitation and hygiene</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with access to an improved water source</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with access to improved sanitation</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Percentage of households observed practising handwashing at critical times</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water points still functioning 12 months after commissioning</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water committees operating with a funded maintenance plan</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Maternal and child health</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mothers receiving prenatal care</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children immunised</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health providers trained</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Change in maternal or infant mortality in the target population</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Basic education and literacy</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teachers trained or certified</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Change in student literacy assessment scores</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students enrolled and retained across the school year</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schools that have adopted the curriculum</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Community economic development</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Change in household income</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jobs created or sustained</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enterprises still operating after 12 months</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trained in a vocational or business skill</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3"/>
        <w:spacing w:after="100" w:before="200"/>
      </w:pPr>
      <w:r>
        <w:rPr>
          <w:rFonts w:ascii="Arial" w:cs="Arial" w:eastAsia="Arial" w:hAnsi="Arial"/>
          <w:b/>
          <w:bCs/>
          <w:color w:val="1A1A1A"/>
          <w:sz w:val="21"/>
          <w:szCs w:val="21"/>
        </w:rPr>
        <w:t xml:space="preserve">Environment</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806"/>
        <w:gridCol w:w="6048"/>
        <w:gridCol w:w="1613"/>
        <w:gridCol w:w="1613"/>
      </w:tblGrid>
      <w:tr>
        <w:trPr>
          <w:tblHeader/>
        </w:trPr>
        <w:tc>
          <w:tcPr>
            <w:tcW w:type="dxa" w:w="806"/>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Use</w:t>
            </w:r>
          </w:p>
        </w:tc>
        <w:tc>
          <w:tcPr>
            <w:tcW w:type="dxa" w:w="604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Standard measure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613"/>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Hectares of habitat protected or restored</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Tonnes of CO₂-equivalent emissions avoided</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people adopting a measured sustainable practice</w:t>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806"/>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604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Number of community stewardship agreements in force</w:t>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613"/>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This list is a working aid drawn from the Global Grant Monitoring and Evaluation Plan Supplement, which is among the older documents in the Foundation's stack. Check the current supplement in My Rotary for the authoritative wording before you submit.</w:t>
      </w:r>
    </w:p>
    <w:p>
      <w:pPr>
        <w:pageBreakBefore/>
      </w:pPr>
    </w:p>
    <w:p>
      <w:pPr>
        <w:pStyle w:val="Heading1"/>
        <w:spacing w:after="160" w:before="360"/>
      </w:pPr>
      <w:r>
        <w:rPr>
          <w:rFonts w:ascii="Arial" w:cs="Arial" w:eastAsia="Arial" w:hAnsi="Arial"/>
          <w:b/>
          <w:bCs/>
          <w:color w:val="1F4E79"/>
          <w:sz w:val="30"/>
          <w:szCs w:val="30"/>
        </w:rPr>
        <w:t xml:space="preserve">3 · Additional measures of your own</w:t>
      </w:r>
    </w:p>
    <w:p>
      <w:pPr>
        <w:spacing w:after="120" w:before="0" w:line="276"/>
      </w:pPr>
      <w:r>
        <w:rPr>
          <w:rFonts w:ascii="Arial" w:cs="Arial" w:eastAsia="Arial" w:hAnsi="Arial"/>
          <w:color w:val="1A1A1A"/>
          <w:sz w:val="20"/>
          <w:szCs w:val="20"/>
        </w:rPr>
        <w:t xml:space="preserve">A good project usually has one the standard list does not cover. Median water collection time, tariff collection rate, and clinic referral completion are all examples that carried real weight.</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427"/>
        <w:gridCol w:w="3024"/>
        <w:gridCol w:w="1814"/>
        <w:gridCol w:w="1815"/>
      </w:tblGrid>
      <w:tr>
        <w:trPr>
          <w:tblHeader/>
        </w:trPr>
        <w:tc>
          <w:tcPr>
            <w:tcW w:type="dxa" w:w="3427"/>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Measure</w:t>
            </w:r>
          </w:p>
        </w:tc>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Why it matters here</w:t>
            </w:r>
          </w:p>
        </w:tc>
        <w:tc>
          <w:tcPr>
            <w:tcW w:type="dxa" w:w="181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Baseline</w:t>
            </w:r>
          </w:p>
        </w:tc>
        <w:tc>
          <w:tcPr>
            <w:tcW w:type="dxa" w:w="1815"/>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Target</w:t>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1815"/>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1"/>
        <w:spacing w:after="160" w:before="360"/>
      </w:pPr>
      <w:r>
        <w:rPr>
          <w:rFonts w:ascii="Arial" w:cs="Arial" w:eastAsia="Arial" w:hAnsi="Arial"/>
          <w:b/>
          <w:bCs/>
          <w:color w:val="1F4E79"/>
          <w:sz w:val="30"/>
          <w:szCs w:val="30"/>
        </w:rPr>
        <w:t xml:space="preserve">4 · Baseline collection</w:t>
      </w:r>
    </w:p>
    <w:p>
      <w:pPr>
        <w:pBdr>
          <w:bottom w:val="single" w:color="9AA7B8" w:sz="4"/>
        </w:pBdr>
        <w:spacing w:after="140" w:before="80"/>
      </w:pPr>
      <w:r>
        <w:rPr>
          <w:rFonts w:ascii="Arial" w:cs="Arial" w:eastAsia="Arial" w:hAnsi="Arial"/>
          <w:b/>
          <w:bCs/>
          <w:color w:val="595959"/>
          <w:sz w:val="19"/>
          <w:szCs w:val="19"/>
        </w:rPr>
        <w:t xml:space="preserve">How the baseline will be collected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Sample size and how it was chosen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Who collects it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Date it will be complete (must precede the first activity)  </w:t>
      </w:r>
      <w:r>
        <w:rPr>
          <w:rFonts w:ascii="Arial" w:cs="Arial" w:eastAsia="Arial" w:hAnsi="Arial"/>
          <w:sz w:val="19"/>
          <w:szCs w:val="19"/>
        </w:rPr>
        <w:t xml:space="preserve">                                                                                          </w:t>
      </w:r>
    </w:p>
    <w:p>
      <w:pPr>
        <w:spacing w:after="160" w:before="0" w:line="276"/>
      </w:pPr>
      <w:r>
        <w:rPr>
          <w:rFonts w:ascii="Arial" w:cs="Arial" w:eastAsia="Arial" w:hAnsi="Arial"/>
          <w:i/>
          <w:iCs/>
          <w:color w:val="808080"/>
          <w:sz w:val="17"/>
          <w:szCs w:val="17"/>
        </w:rPr>
        <w:t xml:space="preserve">Collect the baseline during the community assessment where you can. It is the same fieldwork, and doing it once saves a trip.</w:t>
      </w:r>
    </w:p>
    <w:p>
      <w:pPr>
        <w:pStyle w:val="Heading1"/>
        <w:spacing w:after="160" w:before="360"/>
      </w:pPr>
      <w:r>
        <w:rPr>
          <w:rFonts w:ascii="Arial" w:cs="Arial" w:eastAsia="Arial" w:hAnsi="Arial"/>
          <w:b/>
          <w:bCs/>
          <w:color w:val="1F4E79"/>
          <w:sz w:val="30"/>
          <w:szCs w:val="30"/>
        </w:rPr>
        <w:t xml:space="preserve">5 · Collection schedule</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2218"/>
        <w:gridCol w:w="2218"/>
        <w:gridCol w:w="3024"/>
        <w:gridCol w:w="2620"/>
      </w:tblGrid>
      <w:tr>
        <w:trPr>
          <w:tblHeader/>
        </w:trPr>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Point</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When</w:t>
            </w:r>
          </w:p>
        </w:tc>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Method</w:t>
            </w:r>
          </w:p>
        </w:tc>
        <w:tc>
          <w:tcPr>
            <w:tcW w:type="dxa" w:w="2620"/>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Responsible</w:t>
            </w:r>
          </w:p>
        </w:tc>
      </w:tr>
      <w:tr>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Baseline</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Before activities begin</w:t>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Midline</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Roughly halfway</w:t>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Endline</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At completion</w:t>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Sustainability check</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12 months after completion</w:t>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0"/>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Sustainability check</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24 months after completion</w:t>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620"/>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tbl>
      <w:tblPr>
        <w:tblW w:type="dxa" w:w="10080"/>
        <w:tblBorders>
          <w:top w:val="single" w:color="EBD9A8" w:sz="4"/>
          <w:left w:val="single" w:color="A8760B" w:sz="18"/>
          <w:bottom w:val="single" w:color="EBD9A8" w:sz="4"/>
          <w:right w:val="single" w:color="EBD9A8" w:sz="4"/>
          <w:insideH w:val="none"/>
          <w:insideV w:val="none"/>
        </w:tblBorders>
      </w:tblPr>
      <w:tblGrid>
        <w:gridCol w:w="10080"/>
      </w:tblGrid>
      <w:tr>
        <w:tc>
          <w:tcPr>
            <w:tcW w:type="dxa" w:w="10080"/>
            <w:shd w:fill="FDF7E8" w:val="clear"/>
            <w:tcMar>
              <w:top w:type="dxa" w:w="140"/>
              <w:left w:type="dxa" w:w="180"/>
              <w:bottom w:type="dxa" w:w="140"/>
              <w:right w:type="dxa" w:w="180"/>
            </w:tcMar>
          </w:tcPr>
          <w:p>
            <w:pPr>
              <w:spacing w:after="80" w:before="0" w:line="276"/>
            </w:pPr>
            <w:r>
              <w:rPr>
                <w:rFonts w:ascii="Arial" w:cs="Arial" w:eastAsia="Arial" w:hAnsi="Arial"/>
                <w:b/>
                <w:bCs/>
                <w:color w:val="1A1A1A"/>
                <w:sz w:val="19"/>
                <w:szCs w:val="19"/>
              </w:rPr>
              <w:t xml:space="preserve">Plan at least one measurement point after the project closes.</w:t>
            </w:r>
          </w:p>
          <w:p>
            <w:pPr>
              <w:spacing w:after="0" w:before="0" w:line="276"/>
            </w:pPr>
            <w:r>
              <w:rPr>
                <w:rFonts w:ascii="Arial" w:cs="Arial" w:eastAsia="Arial" w:hAnsi="Arial"/>
                <w:color w:val="1A1A1A"/>
                <w:sz w:val="19"/>
                <w:szCs w:val="19"/>
              </w:rPr>
              <w:t xml:space="preserve">Measurement that stops on the last day of implementation cannot demonstrate sustainability, which is the thing the Foundation most wants demonstrated. A twelve-month functionality check costs very little and answers the question directly.</w:t>
            </w:r>
          </w:p>
        </w:tc>
      </w:tr>
    </w:tbl>
    <w:p>
      <w:pPr>
        <w:spacing w:after="160" w:before="0" w:line="276"/>
      </w:pPr>
      <w:r>
        <w:rPr>
          <w:rFonts w:ascii="Arial" w:cs="Arial" w:eastAsia="Arial" w:hAnsi="Arial"/>
          <w:color w:val="1A1A1A"/>
          <w:sz w:val="20"/>
          <w:szCs w:val="20"/>
        </w:rPr>
        <w:t xml:space="preserve"/>
      </w:r>
    </w:p>
    <w:p>
      <w:pPr>
        <w:pStyle w:val="Heading1"/>
        <w:spacing w:after="160" w:before="360"/>
      </w:pPr>
      <w:r>
        <w:rPr>
          <w:rFonts w:ascii="Arial" w:cs="Arial" w:eastAsia="Arial" w:hAnsi="Arial"/>
          <w:b/>
          <w:bCs/>
          <w:color w:val="1F4E79"/>
          <w:sz w:val="30"/>
          <w:szCs w:val="30"/>
        </w:rPr>
        <w:t xml:space="preserve">6 · Methods, roles and budget</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024"/>
        <w:gridCol w:w="4032"/>
        <w:gridCol w:w="3024"/>
      </w:tblGrid>
      <w:tr>
        <w:trPr>
          <w:tblHeader/>
        </w:trPr>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Collection method</w:t>
            </w:r>
          </w:p>
        </w:tc>
        <w:tc>
          <w:tcPr>
            <w:tcW w:type="dxa" w:w="4032"/>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Applied to which measures</w:t>
            </w:r>
          </w:p>
        </w:tc>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Notes</w:t>
            </w:r>
          </w:p>
        </w:tc>
      </w:tr>
      <w:tr>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Direct observation</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Focus groups</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Grant records</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Public records</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Surveys</w:t>
            </w:r>
          </w:p>
        </w:tc>
        <w:tc>
          <w:tcPr>
            <w:tcW w:type="dxa" w:w="4032"/>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Testing or assessment</w:t>
            </w:r>
          </w:p>
        </w:tc>
        <w:tc>
          <w:tcPr>
            <w:tcW w:type="dxa" w:w="4032"/>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Bdr>
          <w:bottom w:val="single" w:color="9AA7B8" w:sz="4"/>
        </w:pBdr>
        <w:spacing w:after="140" w:before="80"/>
      </w:pPr>
      <w:r>
        <w:rPr>
          <w:rFonts w:ascii="Arial" w:cs="Arial" w:eastAsia="Arial" w:hAnsi="Arial"/>
          <w:b/>
          <w:bCs/>
          <w:color w:val="595959"/>
          <w:sz w:val="19"/>
          <w:szCs w:val="19"/>
        </w:rPr>
        <w:t xml:space="preserve">Person responsible for the whole measurement plan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Measurement budget line (US$) and percentage of total budget  </w:t>
      </w:r>
      <w:r>
        <w:rPr>
          <w:rFonts w:ascii="Arial" w:cs="Arial" w:eastAsia="Arial" w:hAnsi="Arial"/>
          <w:sz w:val="19"/>
          <w:szCs w:val="19"/>
        </w:rPr>
        <w:t xml:space="preserve">                                                                                          </w:t>
      </w:r>
    </w:p>
    <w:p>
      <w:pPr>
        <w:spacing w:after="160" w:before="0" w:line="276"/>
      </w:pPr>
      <w:r>
        <w:rPr>
          <w:rFonts w:ascii="Arial" w:cs="Arial" w:eastAsia="Arial" w:hAnsi="Arial"/>
          <w:i/>
          <w:iCs/>
          <w:color w:val="808080"/>
          <w:sz w:val="17"/>
          <w:szCs w:val="17"/>
        </w:rPr>
        <w:t xml:space="preserve">Capped at 10% of total budget. Foundation guidance suggests 5 to 10%.</w:t>
      </w:r>
    </w:p>
    <w:p>
      <w:pPr>
        <w:pStyle w:val="Heading1"/>
        <w:spacing w:after="160" w:before="360"/>
      </w:pPr>
      <w:r>
        <w:rPr>
          <w:rFonts w:ascii="Arial" w:cs="Arial" w:eastAsia="Arial" w:hAnsi="Arial"/>
          <w:b/>
          <w:bCs/>
          <w:color w:val="1F4E79"/>
          <w:sz w:val="30"/>
          <w:szCs w:val="30"/>
        </w:rPr>
        <w:t xml:space="preserve">7 · Reporting obligations this plan feeds</w:t>
      </w:r>
    </w:p>
    <w:p>
      <w:pPr>
        <w:pStyle w:val="ListParagraph"/>
        <w:numPr>
          <w:ilvl w:val="0"/>
          <w:numId w:val="2"/>
        </w:numPr>
        <w:spacing w:after="90" w:line="276"/>
      </w:pPr>
      <w:r>
        <w:rPr>
          <w:rFonts w:ascii="Arial" w:cs="Arial" w:eastAsia="Arial" w:hAnsi="Arial"/>
          <w:sz w:val="20"/>
          <w:szCs w:val="20"/>
        </w:rPr>
        <w:t xml:space="preserve">First progress report: within twelve months of the first payment.</w:t>
      </w:r>
    </w:p>
    <w:p>
      <w:pPr>
        <w:pStyle w:val="ListParagraph"/>
        <w:numPr>
          <w:ilvl w:val="0"/>
          <w:numId w:val="2"/>
        </w:numPr>
        <w:spacing w:after="90" w:line="276"/>
      </w:pPr>
      <w:r>
        <w:rPr>
          <w:rFonts w:ascii="Arial" w:cs="Arial" w:eastAsia="Arial" w:hAnsi="Arial"/>
          <w:sz w:val="20"/>
          <w:szCs w:val="20"/>
        </w:rPr>
        <w:t xml:space="preserve">Subsequent progress reports: every twelve months from acceptance of the previous one.</w:t>
      </w:r>
    </w:p>
    <w:p>
      <w:pPr>
        <w:pStyle w:val="ListParagraph"/>
        <w:numPr>
          <w:ilvl w:val="0"/>
          <w:numId w:val="2"/>
        </w:numPr>
        <w:spacing w:after="90" w:line="276"/>
      </w:pPr>
      <w:r>
        <w:rPr>
          <w:rFonts w:ascii="Arial" w:cs="Arial" w:eastAsia="Arial" w:hAnsi="Arial"/>
          <w:sz w:val="20"/>
          <w:szCs w:val="20"/>
        </w:rPr>
        <w:t xml:space="preserve">Final report: within two months of completing activities.</w:t>
      </w:r>
    </w:p>
    <w:p>
      <w:pPr>
        <w:pStyle w:val="ListParagraph"/>
        <w:numPr>
          <w:ilvl w:val="0"/>
          <w:numId w:val="2"/>
        </w:numPr>
        <w:spacing w:after="90" w:line="276"/>
      </w:pPr>
      <w:r>
        <w:rPr>
          <w:rFonts w:ascii="Arial" w:cs="Arial" w:eastAsia="Arial" w:hAnsi="Arial"/>
          <w:sz w:val="20"/>
          <w:szCs w:val="20"/>
        </w:rPr>
        <w:t xml:space="preserve">The Foundation reviews reports within about eight weeks.</w:t>
      </w:r>
    </w:p>
    <w:p>
      <w:pPr>
        <w:pStyle w:val="ListParagraph"/>
        <w:numPr>
          <w:ilvl w:val="0"/>
          <w:numId w:val="2"/>
        </w:numPr>
        <w:spacing w:after="90" w:line="276"/>
      </w:pPr>
      <w:r>
        <w:rPr>
          <w:rFonts w:ascii="Arial" w:cs="Arial" w:eastAsia="Arial" w:hAnsi="Arial"/>
          <w:sz w:val="20"/>
          <w:szCs w:val="20"/>
        </w:rPr>
        <w:t xml:space="preserve">The Foundation will not approve a new application from any sponsor holding an overdue report on any Foundation grant — including a grant unrelated to this one.</w:t>
      </w:r>
    </w:p>
    <w:p>
      <w:pPr>
        <w:pBdr>
          <w:bottom w:val="single" w:color="D0D7E2" w:sz="6"/>
        </w:pBdr>
        <w:spacing w:after="180" w:before="60"/>
      </w:pPr>
      <w:r>
        <w:rPr>
          <w:rFonts w:ascii="Arial" w:cs="Arial" w:eastAsia="Arial" w:hAnsi="Arial"/>
          <w:sz w:val="2"/>
          <w:szCs w:val="2"/>
        </w:rPr>
        <w:t xml:space="preserve"/>
      </w:r>
    </w:p>
    <w:p>
      <w:pPr>
        <w:spacing w:after="160" w:before="0" w:line="276"/>
      </w:pPr>
      <w:r>
        <w:rPr>
          <w:rFonts w:ascii="Arial" w:cs="Arial" w:eastAsia="Arial" w:hAnsi="Arial"/>
          <w:i/>
          <w:iCs/>
          <w:color w:val="808080"/>
          <w:sz w:val="17"/>
          <w:szCs w:val="17"/>
        </w:rPr>
        <w:t xml:space="preserve">Prepared from the Terms and Conditions for Rotary Foundation Global Grants (July 2026), verified against the source document, together with the Areas of Focus Policy Statements, Community Assessment Tools (605-EN) and the Global Grant Monitoring and Evaluation Plan Supplement. The Foundation may modify its terms at any time; check My Rotary for anything published after July 2026.</w:t>
      </w:r>
    </w:p>
    <w:p>
      <w:pPr>
        <w:spacing w:after="160" w:before="0" w:line="276"/>
      </w:pPr>
      <w:r>
        <w:rPr>
          <w:rFonts w:ascii="Arial" w:cs="Arial" w:eastAsia="Arial" w:hAnsi="Arial"/>
          <w:i/>
          <w:iCs/>
          <w:color w:val="808080"/>
          <w:sz w:val="17"/>
          <w:szCs w:val="17"/>
        </w:rPr>
        <w:t xml:space="preserve">Rotary Fellowships are, in Rotary's own words, “global groups that bring people together around shared passions.” The Rotary IT Fellowship is one of more than a hundred listed by Rotary International, governed by the Rotary Fellowships Code of Policies and fiscally sponsored by The Action Group (TAG) Foundation Inc., a 501(c)(3). This template is our own initiative and our own reading of the published rules. It is not operated, endorsed, approved or sponsored by Rotary International or The Rotary Foundation, is not a Rotary Foundation document, is not legal advice, and is not a determination or guarantee of funding. Only The Rotary Foundation approves grants. info@rofit.org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4"/>
        <w:szCs w:val="14"/>
      </w:rPr>
      <w:t xml:space="preserve">Rotary IT Fellowship · rofit.org · a preparation aid, not a Rotary Foundation document · page </w:t>
    </w:r>
    <w:r>
      <w:rPr>
        <w:rFonts w:ascii="Arial" w:cs="Arial" w:eastAsia="Arial" w:hAnsi="Arial"/>
        <w:color w:val="80808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pBdr>
      <w:spacing w:after="40"/>
    </w:pPr>
    <w:r>
      <w:rPr>
        <w:rFonts w:ascii="Arial" w:cs="Arial" w:eastAsia="Arial" w:hAnsi="Arial"/>
        <w:color w:val="808080"/>
        <w:sz w:val="16"/>
        <w:szCs w:val="16"/>
      </w:rPr>
      <w:t xml:space="preserve">Monitoring and evaluation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2026-07-27T18:57:33.622Z</dcterms:created>
  <dcterms:modified xsi:type="dcterms:W3CDTF">2026-07-27T18:57:33.622Z</dcterms:modified>
</cp:coreProperties>
</file>

<file path=docProps/custom.xml><?xml version="1.0" encoding="utf-8"?>
<Properties xmlns="http://schemas.openxmlformats.org/officeDocument/2006/custom-properties" xmlns:vt="http://schemas.openxmlformats.org/officeDocument/2006/docPropsVTypes"/>
</file>