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A8760B"/>
          <w:sz w:val="15"/>
          <w:szCs w:val="15"/>
        </w:rPr>
        <w:t xml:space="preserve">ROTARY IT FELLOWSHIP · THE QUANTUM ACCELERATOR</w:t>
      </w:r>
    </w:p>
    <w:p>
      <w:pPr>
        <w:spacing w:after="100"/>
      </w:pPr>
      <w:r>
        <w:rPr>
          <w:rFonts w:ascii="Arial" w:cs="Arial" w:eastAsia="Arial" w:hAnsi="Arial"/>
          <w:b/>
          <w:bCs/>
          <w:color w:val="1F4E79"/>
          <w:sz w:val="40"/>
          <w:szCs w:val="40"/>
        </w:rPr>
        <w:t xml:space="preserve">Qualification and stewardship checklist</w:t>
      </w:r>
    </w:p>
    <w:p>
      <w:pPr>
        <w:spacing w:after="240" w:before="0" w:line="276"/>
      </w:pPr>
      <w:r>
        <w:rPr>
          <w:rFonts w:ascii="Arial" w:cs="Arial" w:eastAsia="Arial" w:hAnsi="Arial"/>
          <w:color w:val="595959"/>
          <w:sz w:val="22"/>
          <w:szCs w:val="22"/>
        </w:rPr>
        <w:t xml:space="preserve">The administrative conditions that silently disqualify good projects, and the clocks that cancel funded ones.</w:t>
      </w:r>
    </w:p>
    <w:p>
      <w:pPr>
        <w:pBdr>
          <w:bottom w:val="single" w:color="D0D7E2" w:sz="6"/>
        </w:pBdr>
        <w:spacing w:after="180" w:before="60"/>
      </w:pPr>
      <w:r>
        <w:rPr>
          <w:rFonts w:ascii="Arial" w:cs="Arial" w:eastAsia="Arial" w:hAnsi="Arial"/>
          <w:sz w:val="2"/>
          <w:szCs w:val="2"/>
        </w:rPr>
        <w:t xml:space="preserve"/>
      </w:r>
    </w:p>
    <w:tbl>
      <w:tblPr>
        <w:tblW w:type="dxa" w:w="10080"/>
        <w:tblBorders>
          <w:top w:val="single" w:color="E8CFCF" w:sz="4"/>
          <w:left w:val="single" w:color="9C1F1F" w:sz="18"/>
          <w:bottom w:val="single" w:color="E8CFCF" w:sz="4"/>
          <w:right w:val="single" w:color="E8CFCF" w:sz="4"/>
          <w:insideH w:val="none"/>
          <w:insideV w:val="none"/>
        </w:tblBorders>
      </w:tblPr>
      <w:tblGrid>
        <w:gridCol w:w="10080"/>
      </w:tblGrid>
      <w:tr>
        <w:tc>
          <w:tcPr>
            <w:tcW w:type="dxa" w:w="10080"/>
            <w:shd w:fill="FBF1F1" w:val="clear"/>
            <w:tcMar>
              <w:top w:type="dxa" w:w="140"/>
              <w:left w:type="dxa" w:w="180"/>
              <w:bottom w:type="dxa" w:w="140"/>
              <w:right w:type="dxa" w:w="180"/>
            </w:tcMar>
          </w:tcPr>
          <w:p>
            <w:pPr>
              <w:spacing w:after="90" w:before="0" w:line="276"/>
            </w:pPr>
            <w:r>
              <w:rPr>
                <w:rFonts w:ascii="Arial" w:cs="Arial" w:eastAsia="Arial" w:hAnsi="Arial"/>
                <w:b/>
                <w:bCs/>
                <w:color w:val="1A1A1A"/>
                <w:sz w:val="21"/>
                <w:szCs w:val="21"/>
              </w:rPr>
              <w:t xml:space="preserve">Read the last section first</w:t>
            </w:r>
          </w:p>
          <w:p>
            <w:pPr>
              <w:spacing w:after="0" w:before="0" w:line="276"/>
            </w:pPr>
            <w:r>
              <w:rPr>
                <w:rFonts w:ascii="Arial" w:cs="Arial" w:eastAsia="Arial" w:hAnsi="Arial"/>
                <w:color w:val="1A1A1A"/>
                <w:sz w:val="19"/>
                <w:szCs w:val="19"/>
              </w:rPr>
              <w:t xml:space="preserve">The Foundation will not approve a new application from any sponsor that holds an overdue report on any Foundation grant. One forgotten report from a project three years ago blocks a whole club's pipeline, and clubs routinely discover this at the worst possible moment. Check it before you do anything else.</w:t>
            </w:r>
          </w:p>
        </w:tc>
      </w:tr>
    </w:tbl>
    <w:p>
      <w:pPr>
        <w:spacing w:after="200" w:before="0" w:line="276"/>
      </w:pPr>
      <w:r>
        <w:rPr>
          <w:rFonts w:ascii="Arial" w:cs="Arial" w:eastAsia="Arial" w:hAnsi="Arial"/>
          <w:color w:val="1A1A1A"/>
          <w:sz w:val="20"/>
          <w:szCs w:val="20"/>
        </w:rPr>
        <w:t xml:space="preserve"/>
      </w:r>
    </w:p>
    <w:p>
      <w:pPr>
        <w:pStyle w:val="Heading1"/>
        <w:spacing w:after="160" w:before="360"/>
      </w:pPr>
      <w:r>
        <w:rPr>
          <w:rFonts w:ascii="Arial" w:cs="Arial" w:eastAsia="Arial" w:hAnsi="Arial"/>
          <w:b/>
          <w:bCs/>
          <w:color w:val="1F4E79"/>
          <w:sz w:val="30"/>
          <w:szCs w:val="30"/>
        </w:rPr>
        <w:t xml:space="preserve">1 · Before you start</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No sponsor holds an overdue report on any Foundation grant.</w:t>
      </w:r>
      <w:r>
        <w:rPr>
          <w:rFonts w:ascii="Arial" w:cs="Arial" w:eastAsia="Arial" w:hAnsi="Arial"/>
          <w:i/>
          <w:iCs/>
          <w:color w:val="808080"/>
          <w:sz w:val="17"/>
          <w:szCs w:val="17"/>
        </w:rPr>
        <w:t xml:space="preserve">  This blocks everything else.</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The host district is qualified for the current Rotary year.</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The international district is qualified for the current Rotary year.</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Where a club is applying, the District Rotary Foundation Committee chair has confirmed club qualification.</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Qualification will not lapse during the review period.</w:t>
      </w:r>
      <w:r>
        <w:rPr>
          <w:rFonts w:ascii="Arial" w:cs="Arial" w:eastAsia="Arial" w:hAnsi="Arial"/>
          <w:i/>
          <w:iCs/>
          <w:color w:val="808080"/>
          <w:sz w:val="17"/>
          <w:szCs w:val="17"/>
        </w:rPr>
        <w:t xml:space="preserve">  It renews annually and can expire mid-review.</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Neither primary sponsor is at the ten open-grant cap.</w:t>
      </w:r>
    </w:p>
    <w:p>
      <w:pPr>
        <w:pBdr>
          <w:bottom w:val="single" w:color="9AA7B8" w:sz="4"/>
        </w:pBdr>
        <w:spacing w:after="140" w:before="80"/>
      </w:pPr>
      <w:r>
        <w:rPr>
          <w:rFonts w:ascii="Arial" w:cs="Arial" w:eastAsia="Arial" w:hAnsi="Arial"/>
          <w:b/>
          <w:bCs/>
          <w:color w:val="595959"/>
          <w:sz w:val="19"/>
          <w:szCs w:val="19"/>
        </w:rPr>
        <w:t xml:space="preserve">Host qualification expires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International qualification expires  </w:t>
      </w:r>
      <w:r>
        <w:rPr>
          <w:rFonts w:ascii="Arial" w:cs="Arial" w:eastAsia="Arial" w:hAnsi="Arial"/>
          <w:sz w:val="19"/>
          <w:szCs w:val="19"/>
        </w:rPr>
        <w:t xml:space="preserve">                                        </w:t>
      </w:r>
    </w:p>
    <w:p>
      <w:pPr>
        <w:pStyle w:val="Heading1"/>
        <w:spacing w:after="160" w:before="360"/>
      </w:pPr>
      <w:r>
        <w:rPr>
          <w:rFonts w:ascii="Arial" w:cs="Arial" w:eastAsia="Arial" w:hAnsi="Arial"/>
          <w:b/>
          <w:bCs/>
          <w:color w:val="1F4E79"/>
          <w:sz w:val="30"/>
          <w:szCs w:val="30"/>
        </w:rPr>
        <w:t xml:space="preserve">2 · Club and district qualification MOU</w:t>
      </w:r>
    </w:p>
    <w:p>
      <w:pPr>
        <w:spacing w:after="120" w:before="0" w:line="276"/>
      </w:pPr>
      <w:r>
        <w:rPr>
          <w:rFonts w:ascii="Arial" w:cs="Arial" w:eastAsia="Arial" w:hAnsi="Arial"/>
          <w:color w:val="1A1A1A"/>
          <w:sz w:val="20"/>
          <w:szCs w:val="20"/>
        </w:rPr>
        <w:t xml:space="preserve">Separate from the cooperating organization MOU. This one is annual.</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Signed by the club president and the president-elect.</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At least one club representative attended the district grant management seminar.</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 copy is on file with the district.</w:t>
      </w:r>
    </w:p>
    <w:p>
      <w:pPr>
        <w:pBdr>
          <w:bottom w:val="single" w:color="9AA7B8" w:sz="4"/>
        </w:pBdr>
        <w:spacing w:after="140" w:before="80"/>
      </w:pPr>
      <w:r>
        <w:rPr>
          <w:rFonts w:ascii="Arial" w:cs="Arial" w:eastAsia="Arial" w:hAnsi="Arial"/>
          <w:b/>
          <w:bCs/>
          <w:color w:val="595959"/>
          <w:sz w:val="19"/>
          <w:szCs w:val="19"/>
        </w:rPr>
        <w:t xml:space="preserve">Date signed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Representative who attended the seminar  </w:t>
      </w:r>
      <w:r>
        <w:rPr>
          <w:rFonts w:ascii="Arial" w:cs="Arial" w:eastAsia="Arial" w:hAnsi="Arial"/>
          <w:sz w:val="19"/>
          <w:szCs w:val="19"/>
        </w:rPr>
        <w:t xml:space="preserve">                                        </w:t>
      </w:r>
    </w:p>
    <w:p>
      <w:pPr>
        <w:pStyle w:val="Heading1"/>
        <w:spacing w:after="160" w:before="360"/>
      </w:pPr>
      <w:r>
        <w:rPr>
          <w:rFonts w:ascii="Arial" w:cs="Arial" w:eastAsia="Arial" w:hAnsi="Arial"/>
          <w:b/>
          <w:bCs/>
          <w:color w:val="1F4E79"/>
          <w:sz w:val="30"/>
          <w:szCs w:val="30"/>
        </w:rPr>
        <w:t xml:space="preserve">3 · Grant committees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Host sponsor committee: three Rotary members.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International sponsor committee: three Rotary members.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No RI fiscal agent or national treasurer serves on either committee.</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No board member or paid employee of a cooperating or beneficiary organization serves on either committee.</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Each primary sponsor has designated one primary contact for correspondence with Rotary.</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3427"/>
        <w:gridCol w:w="2218"/>
        <w:gridCol w:w="2218"/>
        <w:gridCol w:w="2217"/>
      </w:tblGrid>
      <w:tr>
        <w:trPr>
          <w:tblHeader/>
        </w:trPr>
        <w:tc>
          <w:tcPr>
            <w:tcW w:type="dxa" w:w="3427"/>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Name</w:t>
            </w:r>
          </w:p>
        </w:tc>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Sponsor</w:t>
            </w:r>
          </w:p>
        </w:tc>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Role on committee</w:t>
            </w:r>
          </w:p>
        </w:tc>
        <w:tc>
          <w:tcPr>
            <w:tcW w:type="dxa" w:w="2217"/>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Primary contact?</w:t>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Host</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Host</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Host</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International</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International</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International</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pStyle w:val="Heading1"/>
        <w:spacing w:after="160" w:before="360"/>
      </w:pPr>
      <w:r>
        <w:rPr>
          <w:rFonts w:ascii="Arial" w:cs="Arial" w:eastAsia="Arial" w:hAnsi="Arial"/>
          <w:b/>
          <w:bCs/>
          <w:color w:val="1F4E79"/>
          <w:sz w:val="30"/>
          <w:szCs w:val="30"/>
        </w:rPr>
        <w:t xml:space="preserve">4 · Banking and financial management</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 dedicated bank account, used solely for Foundation grant funds, with no commingling of fundraiser income, club dues or district governor funding.</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Signing authority sits with members of the sponsor clubs or districts.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Grant funds are not held or disbursed by any non-Rotarian entity.</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Receipts are retained for grant spending, and scholars and vocational training team members give their sponsors receipts for expenses over US$75.</w:t>
      </w:r>
      <w:r>
        <w:rPr>
          <w:rFonts w:ascii="Arial" w:cs="Arial" w:eastAsia="Arial" w:hAnsi="Arial"/>
          <w:i/>
          <w:iCs/>
          <w:color w:val="808080"/>
          <w:sz w:val="17"/>
          <w:szCs w:val="17"/>
        </w:rPr>
        <w:t xml:space="preserve">  Argentina and Brazil: receipts for all expenses must be submitted with reports.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Records will be retained for five years.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 written plan exists for any residual funds.</w:t>
      </w:r>
      <w:r>
        <w:rPr>
          <w:rFonts w:ascii="Arial" w:cs="Arial" w:eastAsia="Arial" w:hAnsi="Arial"/>
          <w:i/>
          <w:iCs/>
          <w:color w:val="808080"/>
          <w:sz w:val="17"/>
          <w:szCs w:val="17"/>
        </w:rPr>
        <w:t xml:space="preserve">  Above US$1,000 needs Foundation approval. Argentina returns above 10 pesos, Brazil above 100 reals, India and Fondazione Rotary Italia return all unused funds.</w:t>
      </w:r>
    </w:p>
    <w:p>
      <w:pPr>
        <w:pBdr>
          <w:bottom w:val="single" w:color="9AA7B8" w:sz="4"/>
        </w:pBdr>
        <w:spacing w:after="140" w:before="80"/>
      </w:pPr>
      <w:r>
        <w:rPr>
          <w:rFonts w:ascii="Arial" w:cs="Arial" w:eastAsia="Arial" w:hAnsi="Arial"/>
          <w:b/>
          <w:bCs/>
          <w:color w:val="595959"/>
          <w:sz w:val="19"/>
          <w:szCs w:val="19"/>
        </w:rPr>
        <w:t xml:space="preserve">Bank and account name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Signatory 1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Signatory 2  </w:t>
      </w:r>
      <w:r>
        <w:rPr>
          <w:rFonts w:ascii="Arial" w:cs="Arial" w:eastAsia="Arial" w:hAnsi="Arial"/>
          <w:sz w:val="19"/>
          <w:szCs w:val="19"/>
        </w:rPr>
        <w:t xml:space="preserve">                                                            </w:t>
      </w:r>
    </w:p>
    <w:p>
      <w:pPr>
        <w:pageBreakBefore/>
      </w:pPr>
    </w:p>
    <w:p>
      <w:pPr>
        <w:pStyle w:val="Heading1"/>
        <w:spacing w:after="160" w:before="360"/>
      </w:pPr>
      <w:r>
        <w:rPr>
          <w:rFonts w:ascii="Arial" w:cs="Arial" w:eastAsia="Arial" w:hAnsi="Arial"/>
          <w:b/>
          <w:bCs/>
          <w:color w:val="1F4E79"/>
          <w:sz w:val="30"/>
          <w:szCs w:val="30"/>
        </w:rPr>
        <w:t xml:space="preserve">5 · Procurement</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At least two quotations obtained for every significant line item.</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 written rationale recorded for each selected vendor.</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Local suppliers used where possible, including for spare parts.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No grant asset will be owned by a Rotary club, district or member.</w:t>
      </w:r>
      <w:r>
        <w:rPr>
          <w:rFonts w:ascii="Arial" w:cs="Arial" w:eastAsia="Arial" w:hAnsi="Arial"/>
          <w:i/>
          <w:iCs/>
          <w:color w:val="808080"/>
          <w:sz w:val="17"/>
          <w:szCs w:val="17"/>
        </w:rPr>
        <w:t xml:space="preserve">  All grant assets must legally belong to the beneficiaries.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 handover instrument has been drafted naming the beneficiary owner.</w:t>
      </w:r>
    </w:p>
    <w:p>
      <w:pPr>
        <w:pStyle w:val="Heading1"/>
        <w:spacing w:after="160" w:before="360"/>
      </w:pPr>
      <w:r>
        <w:rPr>
          <w:rFonts w:ascii="Arial" w:cs="Arial" w:eastAsia="Arial" w:hAnsi="Arial"/>
          <w:b/>
          <w:bCs/>
          <w:color w:val="1F4E79"/>
          <w:sz w:val="30"/>
          <w:szCs w:val="30"/>
        </w:rPr>
        <w:t xml:space="preserve">6 · The cancellation clocks</w:t>
      </w:r>
    </w:p>
    <w:p>
      <w:pPr>
        <w:spacing w:after="120" w:before="0" w:line="276"/>
      </w:pPr>
      <w:r>
        <w:rPr>
          <w:rFonts w:ascii="Arial" w:cs="Arial" w:eastAsia="Arial" w:hAnsi="Arial"/>
          <w:color w:val="1A1A1A"/>
          <w:sz w:val="20"/>
          <w:szCs w:val="20"/>
        </w:rPr>
        <w:t xml:space="preserve">Four clocks run automatically. Each one cancels the grant when it expires, and sponsors are frequently unaware they are running. Enter the dates the day the clock starts.</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4838"/>
        <w:gridCol w:w="2218"/>
        <w:gridCol w:w="3024"/>
      </w:tblGrid>
      <w:tr>
        <w:trPr>
          <w:tblHeader/>
        </w:trPr>
        <w:tc>
          <w:tcPr>
            <w:tcW w:type="dxa" w:w="483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Clock</w:t>
            </w:r>
          </w:p>
        </w:tc>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Starts</w:t>
            </w:r>
          </w:p>
        </w:tc>
        <w:tc>
          <w:tcPr>
            <w:tcW w:type="dxa" w:w="3024"/>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Cancels on</w:t>
            </w:r>
          </w:p>
        </w:tc>
      </w:tr>
      <w:tr>
        <w:tc>
          <w:tcPr>
            <w:tcW w:type="dxa" w:w="483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Application must be submitted within 12 months of being started</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483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Application must be approved within 6 months of submission</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483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Payment requirements must be met within 6 months of approval</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483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Activities must be implemented within 12 months of payment</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483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Grants involving travel: submit at least 90 days before departure</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483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Scholarships starting Aug, Sep or Oct: submit by 30 June</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3024"/>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60" w:before="0" w:line="276"/>
      </w:pPr>
      <w:r>
        <w:rPr>
          <w:rFonts w:ascii="Arial" w:cs="Arial" w:eastAsia="Arial" w:hAnsi="Arial"/>
          <w:i/>
          <w:iCs/>
          <w:color w:val="808080"/>
          <w:sz w:val="17"/>
          <w:szCs w:val="17"/>
        </w:rPr>
        <w:t xml:space="preserve">Put every one of these in a shared calendar, not a personal one. Rotary leadership turns over on 1 July and grant knowledge leaves with the outgoing chair — the Foundation's own magazine names this as a recurring cause of grants breaking mid-cycle.</w:t>
      </w:r>
    </w:p>
    <w:p>
      <w:pPr>
        <w:pStyle w:val="Heading1"/>
        <w:spacing w:after="160" w:before="360"/>
      </w:pPr>
      <w:r>
        <w:rPr>
          <w:rFonts w:ascii="Arial" w:cs="Arial" w:eastAsia="Arial" w:hAnsi="Arial"/>
          <w:b/>
          <w:bCs/>
          <w:color w:val="1F4E79"/>
          <w:sz w:val="30"/>
          <w:szCs w:val="30"/>
        </w:rPr>
        <w:t xml:space="preserve">7 · Reporting</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4838"/>
        <w:gridCol w:w="2621"/>
        <w:gridCol w:w="2621"/>
      </w:tblGrid>
      <w:tr>
        <w:trPr>
          <w:tblHeader/>
        </w:trPr>
        <w:tc>
          <w:tcPr>
            <w:tcW w:type="dxa" w:w="483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Report</w:t>
            </w:r>
          </w:p>
        </w:tc>
        <w:tc>
          <w:tcPr>
            <w:tcW w:type="dxa" w:w="2621"/>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Due</w:t>
            </w:r>
          </w:p>
        </w:tc>
        <w:tc>
          <w:tcPr>
            <w:tcW w:type="dxa" w:w="2621"/>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Date entered in calendar</w:t>
            </w:r>
          </w:p>
        </w:tc>
      </w:tr>
      <w:tr>
        <w:tc>
          <w:tcPr>
            <w:tcW w:type="dxa" w:w="483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First progress report</w:t>
            </w:r>
          </w:p>
        </w:tc>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12 months after first payment</w:t>
            </w:r>
          </w:p>
        </w:tc>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483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Subsequent progress reports</w:t>
            </w:r>
          </w:p>
        </w:tc>
        <w:tc>
          <w:tcPr>
            <w:tcW w:type="dxa" w:w="2621"/>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Every 12 months thereafter</w:t>
            </w:r>
          </w:p>
        </w:tc>
        <w:tc>
          <w:tcPr>
            <w:tcW w:type="dxa" w:w="2621"/>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483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Final report</w:t>
            </w:r>
          </w:p>
        </w:tc>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Within 2 months of completing activities</w:t>
            </w:r>
          </w:p>
        </w:tc>
        <w:tc>
          <w:tcPr>
            <w:tcW w:type="dxa" w:w="2621"/>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Someone other than the primary contact knows these dates.</w:t>
      </w:r>
    </w:p>
    <w:p>
      <w:pPr>
        <w:spacing w:after="110" w:line="276"/>
        <w:ind w:left="340" w:hanging="340"/>
      </w:pPr>
      <w:r>
        <w:rPr>
          <w:rFonts w:ascii="Arial" w:cs="Arial" w:eastAsia="Arial" w:hAnsi="Arial"/>
          <w:color w:val="1F4E79"/>
          <w:sz w:val="22"/>
          <w:szCs w:val="22"/>
        </w:rPr>
        <w:t xml:space="preserve">☐   </w:t>
      </w:r>
      <w:r>
        <w:rPr>
          <w:rFonts w:ascii="Arial" w:cs="Arial" w:eastAsia="Arial" w:hAnsi="Arial"/>
          <w:sz w:val="20"/>
          <w:szCs w:val="20"/>
        </w:rPr>
        <w:t xml:space="preserve">A handover note exists for the incoming club president and district chair.</w:t>
      </w:r>
    </w:p>
    <w:p>
      <w:pPr>
        <w:pStyle w:val="Heading1"/>
        <w:spacing w:after="160" w:before="360"/>
      </w:pPr>
      <w:r>
        <w:rPr>
          <w:rFonts w:ascii="Arial" w:cs="Arial" w:eastAsia="Arial" w:hAnsi="Arial"/>
          <w:b/>
          <w:bCs/>
          <w:color w:val="1F4E79"/>
          <w:sz w:val="30"/>
          <w:szCs w:val="30"/>
        </w:rPr>
        <w:t xml:space="preserve">8 · Consequences worth stating plainly</w:t>
      </w:r>
    </w:p>
    <w:p>
      <w:pPr>
        <w:pStyle w:val="ListParagraph"/>
        <w:numPr>
          <w:ilvl w:val="0"/>
          <w:numId w:val="2"/>
        </w:numPr>
        <w:spacing w:after="90" w:line="276"/>
      </w:pPr>
      <w:r>
        <w:rPr>
          <w:rFonts w:ascii="Arial" w:cs="Arial" w:eastAsia="Arial" w:hAnsi="Arial"/>
          <w:sz w:val="20"/>
          <w:szCs w:val="20"/>
        </w:rPr>
        <w:t xml:space="preserve">Non-adherence to the terms can require the return of all funds, and sponsors may be barred from receiving grants for up to five years.</w:t>
      </w:r>
    </w:p>
    <w:p>
      <w:pPr>
        <w:pStyle w:val="ListParagraph"/>
        <w:numPr>
          <w:ilvl w:val="0"/>
          <w:numId w:val="2"/>
        </w:numPr>
        <w:spacing w:after="90" w:line="276"/>
      </w:pPr>
      <w:r>
        <w:rPr>
          <w:rFonts w:ascii="Arial" w:cs="Arial" w:eastAsia="Arial" w:hAnsi="Arial"/>
          <w:sz w:val="20"/>
          <w:szCs w:val="20"/>
        </w:rPr>
        <w:t xml:space="preserve">The Foundation may at any time audit the grant, send monitors, demand documentation, or suspend payments.</w:t>
      </w:r>
    </w:p>
    <w:p>
      <w:pPr>
        <w:pStyle w:val="ListParagraph"/>
        <w:numPr>
          <w:ilvl w:val="0"/>
          <w:numId w:val="2"/>
        </w:numPr>
        <w:spacing w:after="90" w:line="276"/>
      </w:pPr>
      <w:r>
        <w:rPr>
          <w:rFonts w:ascii="Arial" w:cs="Arial" w:eastAsia="Arial" w:hAnsi="Arial"/>
          <w:sz w:val="20"/>
          <w:szCs w:val="20"/>
        </w:rPr>
        <w:t xml:space="preserve">Scope drift after funding — receiving the money and then doing something else — is specifically identified by the Foundation as a recurring problem. Any material change needs approval first.</w:t>
      </w:r>
    </w:p>
    <w:p>
      <w:pPr>
        <w:pStyle w:val="ListParagraph"/>
        <w:numPr>
          <w:ilvl w:val="0"/>
          <w:numId w:val="2"/>
        </w:numPr>
        <w:spacing w:after="90" w:line="276"/>
      </w:pPr>
      <w:r>
        <w:rPr>
          <w:rFonts w:ascii="Arial" w:cs="Arial" w:eastAsia="Arial" w:hAnsi="Arial"/>
          <w:sz w:val="20"/>
          <w:szCs w:val="20"/>
        </w:rPr>
        <w:t xml:space="preserve">An overdue report on any grant blocks every new application from that sponsor.</w:t>
      </w:r>
    </w:p>
    <w:p>
      <w:pPr>
        <w:pStyle w:val="Heading1"/>
        <w:spacing w:after="160" w:before="360"/>
      </w:pPr>
      <w:r>
        <w:rPr>
          <w:rFonts w:ascii="Arial" w:cs="Arial" w:eastAsia="Arial" w:hAnsi="Arial"/>
          <w:b/>
          <w:bCs/>
          <w:color w:val="1F4E79"/>
          <w:sz w:val="30"/>
          <w:szCs w:val="30"/>
        </w:rPr>
        <w:t xml:space="preserve">Sign-off</w:t>
      </w:r>
    </w:p>
    <w:p>
      <w:pPr>
        <w:spacing w:after="120" w:before="0" w:line="276"/>
      </w:pPr>
      <w:r>
        <w:rPr>
          <w:rFonts w:ascii="Arial" w:cs="Arial" w:eastAsia="Arial" w:hAnsi="Arial"/>
          <w:color w:val="1A1A1A"/>
          <w:sz w:val="20"/>
          <w:szCs w:val="20"/>
        </w:rPr>
        <w:t xml:space="preserve">Completed by the person who will be accountable if any of the above turns out not to be true.</w:t>
      </w:r>
    </w:p>
    <w:p>
      <w:pPr>
        <w:pBdr>
          <w:bottom w:val="single" w:color="9AA7B8" w:sz="4"/>
        </w:pBdr>
        <w:spacing w:after="140" w:before="80"/>
      </w:pPr>
      <w:r>
        <w:rPr>
          <w:rFonts w:ascii="Arial" w:cs="Arial" w:eastAsia="Arial" w:hAnsi="Arial"/>
          <w:b/>
          <w:bCs/>
          <w:color w:val="595959"/>
          <w:sz w:val="19"/>
          <w:szCs w:val="19"/>
        </w:rPr>
        <w:t xml:space="preserve">Name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Role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Date  </w:t>
      </w:r>
      <w:r>
        <w:rPr>
          <w:rFonts w:ascii="Arial" w:cs="Arial" w:eastAsia="Arial" w:hAnsi="Arial"/>
          <w:sz w:val="19"/>
          <w:szCs w:val="19"/>
        </w:rPr>
        <w:t xml:space="preserve">                              </w:t>
      </w:r>
    </w:p>
    <w:p>
      <w:pPr>
        <w:pBdr>
          <w:bottom w:val="single" w:color="D0D7E2" w:sz="6"/>
        </w:pBdr>
        <w:spacing w:after="180" w:before="60"/>
      </w:pPr>
      <w:r>
        <w:rPr>
          <w:rFonts w:ascii="Arial" w:cs="Arial" w:eastAsia="Arial" w:hAnsi="Arial"/>
          <w:sz w:val="2"/>
          <w:szCs w:val="2"/>
        </w:rPr>
        <w:t xml:space="preserve"/>
      </w:r>
    </w:p>
    <w:p>
      <w:pPr>
        <w:spacing w:after="160" w:before="0" w:line="276"/>
      </w:pPr>
      <w:r>
        <w:rPr>
          <w:rFonts w:ascii="Arial" w:cs="Arial" w:eastAsia="Arial" w:hAnsi="Arial"/>
          <w:i/>
          <w:iCs/>
          <w:color w:val="808080"/>
          <w:sz w:val="17"/>
          <w:szCs w:val="17"/>
        </w:rPr>
        <w:t xml:space="preserve">Prepared from the Terms and Conditions for Rotary Foundation Global Grants (July 2026), verified against the source document, together with the Areas of Focus Policy Statements, Community Assessment Tools (605-EN) and the Global Grant Monitoring and Evaluation Plan Supplement. The Foundation may modify its terms at any time; check My Rotary for anything published after July 2026.</w:t>
      </w:r>
    </w:p>
    <w:p>
      <w:pPr>
        <w:spacing w:after="160" w:before="0" w:line="276"/>
      </w:pPr>
      <w:r>
        <w:rPr>
          <w:rFonts w:ascii="Arial" w:cs="Arial" w:eastAsia="Arial" w:hAnsi="Arial"/>
          <w:i/>
          <w:iCs/>
          <w:color w:val="808080"/>
          <w:sz w:val="17"/>
          <w:szCs w:val="17"/>
        </w:rPr>
        <w:t xml:space="preserve">Rotary Fellowships are, in Rotary's own words, “global groups that bring people together around shared passions.” The Rotary IT Fellowship is one of more than a hundred listed by Rotary International, governed by the Rotary Fellowships Code of Policies and fiscally sponsored by The Action Group (TAG) Foundation Inc., a 501(c)(3). This template is our own initiative and our own reading of the published rules. It is not operated, endorsed, approved or sponsored by Rotary International or The Rotary Foundation, is not a Rotary Foundation document, is not legal advice, and is not a determination or guarantee of funding. Only The Rotary Foundation approves grants. info@rofit.org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08080"/>
        <w:sz w:val="14"/>
        <w:szCs w:val="14"/>
      </w:rPr>
      <w:t xml:space="preserve">Rotary IT Fellowship · rofit.org · a preparation aid, not a Rotary Foundation document · page </w:t>
    </w:r>
    <w:r>
      <w:rPr>
        <w:rFonts w:ascii="Arial" w:cs="Arial" w:eastAsia="Arial" w:hAnsi="Arial"/>
        <w:color w:val="80808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7E2" w:sz="4"/>
      </w:pBdr>
      <w:spacing w:after="40"/>
    </w:pPr>
    <w:r>
      <w:rPr>
        <w:rFonts w:ascii="Arial" w:cs="Arial" w:eastAsia="Arial" w:hAnsi="Arial"/>
        <w:color w:val="808080"/>
        <w:sz w:val="16"/>
        <w:szCs w:val="16"/>
      </w:rPr>
      <w:t xml:space="preserve">Qualification and stewardship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2026-07-27T18:57:33.629Z</dcterms:created>
  <dcterms:modified xsi:type="dcterms:W3CDTF">2026-07-27T18:57:33.629Z</dcterms:modified>
</cp:coreProperties>
</file>

<file path=docProps/custom.xml><?xml version="1.0" encoding="utf-8"?>
<Properties xmlns="http://schemas.openxmlformats.org/officeDocument/2006/custom-properties" xmlns:vt="http://schemas.openxmlformats.org/officeDocument/2006/docPropsVTypes"/>
</file>